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sz w:val="32"/>
          <w:szCs w:val="32"/>
        </w:rPr>
      </w:pPr>
      <w:r w:rsidDel="00000000" w:rsidR="00000000" w:rsidRPr="00000000">
        <w:rPr>
          <w:rtl w:val="0"/>
        </w:rPr>
      </w:r>
    </w:p>
    <w:p w:rsidR="00000000" w:rsidDel="00000000" w:rsidP="00000000" w:rsidRDefault="00000000" w:rsidRPr="00000000" w14:paraId="00000002">
      <w:pPr>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Teach Don’t Tell Framework</w:t>
      </w:r>
    </w:p>
    <w:p w:rsidR="00000000" w:rsidDel="00000000" w:rsidP="00000000" w:rsidRDefault="00000000" w:rsidRPr="00000000" w14:paraId="00000003">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0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Teach Don’t Tell Framework will help you write messaging and positioning that speaks directly to your ideal buyer. It can be used when creating content, for product positioning and messaging, and when designing any type of offer. </w:t>
      </w:r>
    </w:p>
    <w:p w:rsidR="00000000" w:rsidDel="00000000" w:rsidP="00000000" w:rsidRDefault="00000000" w:rsidRPr="00000000" w14:paraId="00000005">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06">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Fill in the four parts with as much detail as you want to help align your messaging to the right audience and focus the content on what matters most to buyers: problems, solutions, and examples.  </w:t>
      </w:r>
    </w:p>
    <w:p w:rsidR="00000000" w:rsidDel="00000000" w:rsidP="00000000" w:rsidRDefault="00000000" w:rsidRPr="00000000" w14:paraId="00000007">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08">
      <w:pPr>
        <w:rPr>
          <w:rFonts w:ascii="Poppins" w:cs="Poppins" w:eastAsia="Poppins" w:hAnsi="Poppins"/>
          <w:b w:val="1"/>
          <w:sz w:val="24"/>
          <w:szCs w:val="24"/>
        </w:rPr>
      </w:pPr>
      <w:r w:rsidDel="00000000" w:rsidR="00000000" w:rsidRPr="00000000">
        <w:rPr>
          <w:rtl w:val="0"/>
        </w:rPr>
      </w:r>
    </w:p>
    <w:tbl>
      <w:tblPr>
        <w:tblStyle w:val="Table1"/>
        <w:tblW w:w="9900.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6990"/>
        <w:tblGridChange w:id="0">
          <w:tblGrid>
            <w:gridCol w:w="2910"/>
            <w:gridCol w:w="6990"/>
          </w:tblGrid>
        </w:tblGridChange>
      </w:tblGrid>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People </w:t>
            </w:r>
            <w:r w:rsidDel="00000000" w:rsidR="00000000" w:rsidRPr="00000000">
              <w:rPr>
                <w:rFonts w:ascii="Poppins" w:cs="Poppins" w:eastAsia="Poppins" w:hAnsi="Poppins"/>
                <w:sz w:val="24"/>
                <w:szCs w:val="24"/>
                <w:rtl w:val="0"/>
              </w:rPr>
              <w:t xml:space="preserve">are WHO matter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Define the audience and identify the right people to partner with.</w:t>
            </w:r>
          </w:p>
        </w:tc>
      </w:tr>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Problems </w:t>
            </w:r>
            <w:r w:rsidDel="00000000" w:rsidR="00000000" w:rsidRPr="00000000">
              <w:rPr>
                <w:rFonts w:ascii="Poppins" w:cs="Poppins" w:eastAsia="Poppins" w:hAnsi="Poppins"/>
                <w:sz w:val="24"/>
                <w:szCs w:val="24"/>
                <w:rtl w:val="0"/>
              </w:rPr>
              <w:t xml:space="preserve">are WHY they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Define the problems clearly and with specificity. </w:t>
            </w:r>
          </w:p>
        </w:tc>
      </w:tr>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Stories </w:t>
            </w:r>
            <w:r w:rsidDel="00000000" w:rsidR="00000000" w:rsidRPr="00000000">
              <w:rPr>
                <w:rFonts w:ascii="Poppins" w:cs="Poppins" w:eastAsia="Poppins" w:hAnsi="Poppins"/>
                <w:sz w:val="24"/>
                <w:szCs w:val="24"/>
                <w:rtl w:val="0"/>
              </w:rPr>
              <w:t xml:space="preserve">are HOW it 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Share the solution from the voice of the customer or expert. </w:t>
            </w:r>
          </w:p>
        </w:tc>
      </w:tr>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Examples </w:t>
            </w:r>
            <w:r w:rsidDel="00000000" w:rsidR="00000000" w:rsidRPr="00000000">
              <w:rPr>
                <w:rFonts w:ascii="Poppins" w:cs="Poppins" w:eastAsia="Poppins" w:hAnsi="Poppins"/>
                <w:sz w:val="24"/>
                <w:szCs w:val="24"/>
                <w:rtl w:val="0"/>
              </w:rPr>
              <w:t xml:space="preserve">are WHAT resonate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Show the value the solution creates. </w:t>
            </w:r>
          </w:p>
        </w:tc>
      </w:tr>
    </w:tbl>
    <w:p w:rsidR="00000000" w:rsidDel="00000000" w:rsidP="00000000" w:rsidRDefault="00000000" w:rsidRPr="00000000" w14:paraId="00000011">
      <w:pPr>
        <w:rPr>
          <w:rFonts w:ascii="Poppins" w:cs="Poppins" w:eastAsia="Poppins" w:hAnsi="Poppins"/>
          <w:b w:val="1"/>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t xml:space="preserve">TACKGTM.com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rFonts w:ascii="Poppins" w:cs="Poppins" w:eastAsia="Poppins" w:hAnsi="Poppins"/>
      </w:rPr>
      <w:drawing>
        <wp:inline distB="114300" distT="114300" distL="114300" distR="114300">
          <wp:extent cx="957263" cy="25154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57263" cy="2515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